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Monday 13</w:t>
      </w:r>
      <w:r w:rsidRPr="00222641">
        <w:rPr>
          <w:rFonts w:ascii="Arial" w:eastAsia="Times New Roman" w:hAnsi="Arial" w:cs="Arial"/>
          <w:b/>
          <w:bCs/>
          <w:color w:val="000000"/>
          <w:vertAlign w:val="superscript"/>
        </w:rPr>
        <w:t>th</w:t>
      </w:r>
      <w:r>
        <w:rPr>
          <w:rFonts w:ascii="Arial" w:eastAsia="Times New Roman" w:hAnsi="Arial" w:cs="Arial"/>
          <w:b/>
          <w:bCs/>
          <w:color w:val="000000"/>
        </w:rPr>
        <w:t xml:space="preserve"> March 2017</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1A4A7C00" wp14:editId="3683BAD5">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76A34502" wp14:editId="709B5070">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1BC3E12A" wp14:editId="44A1C82C">
                  <wp:extent cx="76200" cy="121920"/>
                  <wp:effectExtent l="0" t="0" r="0" b="0"/>
                  <wp:docPr id="15" name="Picture 1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37483D"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6FD75E2" wp14:editId="44A014FA">
                  <wp:extent cx="76200" cy="12192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r>
              <w:rPr>
                <w:rFonts w:ascii="Arial" w:eastAsia="Times New Roman" w:hAnsi="Arial" w:cs="Arial"/>
              </w:rPr>
              <w:t xml:space="preserve"> (Virtual)</w:t>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Stella O’Brien (Patient) - Second</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SO</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1DF6CEC1" wp14:editId="206692F7">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37483D"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3DC3859" wp14:editId="326A67CE">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r>
              <w:rPr>
                <w:rFonts w:ascii="Arial" w:eastAsia="Times New Roman" w:hAnsi="Arial" w:cs="Arial"/>
              </w:rPr>
              <w:t xml:space="preserve"> (Virtual)</w:t>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proofErr w:type="spellStart"/>
            <w:r>
              <w:rPr>
                <w:rFonts w:ascii="Arial" w:eastAsia="Times New Roman" w:hAnsi="Arial" w:cs="Arial"/>
              </w:rPr>
              <w:t>Zena</w:t>
            </w:r>
            <w:proofErr w:type="spellEnd"/>
            <w:r>
              <w:rPr>
                <w:rFonts w:ascii="Arial" w:eastAsia="Times New Roman" w:hAnsi="Arial" w:cs="Arial"/>
              </w:rPr>
              <w:t>-Marie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bookmarkStart w:id="0" w:name="_GoBack"/>
            <w:bookmarkEnd w:id="0"/>
            <w:r>
              <w:rPr>
                <w:rFonts w:ascii="Arial" w:eastAsia="Times New Roman" w:hAnsi="Arial" w:cs="Arial"/>
                <w:noProof/>
                <w:lang w:eastAsia="en-GB"/>
              </w:rPr>
              <w:t xml:space="preserve">   </w:t>
            </w:r>
            <w:r>
              <w:rPr>
                <w:rFonts w:ascii="Arial" w:eastAsia="Times New Roman" w:hAnsi="Arial" w:cs="Arial"/>
                <w:noProof/>
                <w:lang w:eastAsia="en-GB"/>
              </w:rPr>
              <w:drawing>
                <wp:inline distT="0" distB="0" distL="0" distR="0" wp14:anchorId="48BB1B15" wp14:editId="4D0AE0C0">
                  <wp:extent cx="76200" cy="121920"/>
                  <wp:effectExtent l="0" t="0" r="0" b="0"/>
                  <wp:docPr id="18" name="Picture 1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r>
              <w:rPr>
                <w:rFonts w:ascii="Arial" w:eastAsia="Times New Roman" w:hAnsi="Arial" w:cs="Arial"/>
                <w:noProof/>
                <w:lang w:eastAsia="en-GB"/>
              </w:rPr>
              <w:t xml:space="preserve"> (Virtual) </w:t>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 xml:space="preserve">Lara </w:t>
            </w:r>
            <w:proofErr w:type="spellStart"/>
            <w:r>
              <w:rPr>
                <w:rFonts w:ascii="Arial" w:eastAsia="Times New Roman" w:hAnsi="Arial" w:cs="Arial"/>
              </w:rPr>
              <w:t>Akpojiyovwi</w:t>
            </w:r>
            <w:proofErr w:type="spellEnd"/>
            <w:r>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3ACA291F" wp14:editId="78987089">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Judith Bryan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Pr>
                <w:rFonts w:ascii="Arial" w:eastAsia="Times New Roman" w:hAnsi="Arial" w:cs="Arial"/>
                <w:noProof/>
                <w:lang w:eastAsia="en-GB"/>
              </w:rPr>
              <w:drawing>
                <wp:inline distT="0" distB="0" distL="0" distR="0" wp14:anchorId="0B2235A7" wp14:editId="3A710123">
                  <wp:extent cx="76200" cy="12192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Dr Kate Love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KL</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1C4581C5" wp14:editId="3190252E">
                  <wp:extent cx="76200" cy="12192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Paul Flaherty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PF</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1EF1B8C" wp14:editId="4D00886D">
                  <wp:extent cx="76200" cy="12192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Deirdre Beecher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DB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287E8AC7" wp14:editId="199EC239">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proofErr w:type="spellStart"/>
            <w:r>
              <w:rPr>
                <w:rFonts w:ascii="Arial" w:eastAsia="Times New Roman" w:hAnsi="Arial" w:cs="Arial"/>
              </w:rPr>
              <w:t>Goran</w:t>
            </w:r>
            <w:proofErr w:type="spellEnd"/>
            <w:r>
              <w:rPr>
                <w:rFonts w:ascii="Arial" w:eastAsia="Times New Roman" w:hAnsi="Arial" w:cs="Arial"/>
              </w:rPr>
              <w:t xml:space="preserve"> </w:t>
            </w:r>
            <w:proofErr w:type="spellStart"/>
            <w:r>
              <w:rPr>
                <w:rFonts w:ascii="Arial" w:eastAsia="Times New Roman" w:hAnsi="Arial" w:cs="Arial"/>
              </w:rPr>
              <w:t>Lukic</w:t>
            </w:r>
            <w:proofErr w:type="spellEnd"/>
            <w:r>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GL</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7A8DB495" wp14:editId="2955BAF5">
                  <wp:extent cx="76200" cy="121920"/>
                  <wp:effectExtent l="0" t="0" r="0" b="0"/>
                  <wp:docPr id="13" name="Picture 1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8F20206" wp14:editId="574482C9">
                  <wp:extent cx="76200" cy="12192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222641" w:rsidP="00A931CA">
            <w:pPr>
              <w:pStyle w:val="ListParagraph"/>
              <w:ind w:left="360"/>
              <w:rPr>
                <w:rFonts w:ascii="Arial" w:eastAsia="Times New Roman" w:hAnsi="Arial" w:cs="Arial"/>
                <w:b/>
                <w:bCs/>
              </w:rPr>
            </w:pPr>
            <w:r>
              <w:rPr>
                <w:rFonts w:ascii="Arial" w:eastAsia="Times New Roman" w:hAnsi="Arial" w:cs="Arial"/>
                <w:b/>
                <w:bCs/>
              </w:rPr>
              <w:t>Patient Online Access Update</w:t>
            </w:r>
          </w:p>
          <w:p w:rsidR="00222641" w:rsidRDefault="00222641" w:rsidP="00A931CA">
            <w:pPr>
              <w:pStyle w:val="ListParagraph"/>
              <w:numPr>
                <w:ilvl w:val="0"/>
                <w:numId w:val="2"/>
              </w:numPr>
              <w:rPr>
                <w:rFonts w:ascii="Arial" w:eastAsia="Times New Roman" w:hAnsi="Arial" w:cs="Arial"/>
                <w:bCs/>
              </w:rPr>
            </w:pPr>
            <w:r>
              <w:rPr>
                <w:rFonts w:ascii="Arial" w:eastAsia="Times New Roman" w:hAnsi="Arial" w:cs="Arial"/>
                <w:bCs/>
              </w:rPr>
              <w:t xml:space="preserve">From recent CCG figures the practice has attained </w:t>
            </w:r>
            <w:r w:rsidR="003A4483">
              <w:rPr>
                <w:rFonts w:ascii="Arial" w:eastAsia="Times New Roman" w:hAnsi="Arial" w:cs="Arial"/>
                <w:bCs/>
              </w:rPr>
              <w:t>14</w:t>
            </w:r>
            <w:r>
              <w:rPr>
                <w:rFonts w:ascii="Arial" w:eastAsia="Times New Roman" w:hAnsi="Arial" w:cs="Arial"/>
                <w:bCs/>
              </w:rPr>
              <w:t>% of the practice population who have an account to use online services.</w:t>
            </w:r>
          </w:p>
          <w:p w:rsidR="00222641" w:rsidRDefault="00222641" w:rsidP="00A931CA">
            <w:pPr>
              <w:pStyle w:val="ListParagraph"/>
              <w:numPr>
                <w:ilvl w:val="0"/>
                <w:numId w:val="2"/>
              </w:numPr>
              <w:rPr>
                <w:rFonts w:ascii="Arial" w:eastAsia="Times New Roman" w:hAnsi="Arial" w:cs="Arial"/>
                <w:bCs/>
              </w:rPr>
            </w:pPr>
            <w:r>
              <w:rPr>
                <w:rFonts w:ascii="Arial" w:eastAsia="Times New Roman" w:hAnsi="Arial" w:cs="Arial"/>
                <w:bCs/>
              </w:rPr>
              <w:t>GW emphasised the usefulness of patient’s booking their own appointments, ordering repeat prescriptions and reviewing their test results.</w:t>
            </w:r>
          </w:p>
          <w:p w:rsidR="00222641" w:rsidRDefault="004C212D" w:rsidP="004C212D">
            <w:pPr>
              <w:pStyle w:val="ListParagraph"/>
              <w:numPr>
                <w:ilvl w:val="0"/>
                <w:numId w:val="2"/>
              </w:numPr>
              <w:rPr>
                <w:rFonts w:ascii="Arial" w:eastAsia="Times New Roman" w:hAnsi="Arial" w:cs="Arial"/>
                <w:bCs/>
              </w:rPr>
            </w:pPr>
            <w:r>
              <w:rPr>
                <w:rFonts w:ascii="Arial" w:eastAsia="Times New Roman" w:hAnsi="Arial" w:cs="Arial"/>
                <w:bCs/>
              </w:rPr>
              <w:t xml:space="preserve">It has been recommended that practices should not offer online access to parents for patients </w:t>
            </w:r>
            <w:proofErr w:type="gramStart"/>
            <w:r>
              <w:rPr>
                <w:rFonts w:ascii="Arial" w:eastAsia="Times New Roman" w:hAnsi="Arial" w:cs="Arial"/>
                <w:bCs/>
              </w:rPr>
              <w:t>under</w:t>
            </w:r>
            <w:proofErr w:type="gramEnd"/>
            <w:r>
              <w:rPr>
                <w:rFonts w:ascii="Arial" w:eastAsia="Times New Roman" w:hAnsi="Arial" w:cs="Arial"/>
                <w:bCs/>
              </w:rPr>
              <w:t xml:space="preserve"> </w:t>
            </w:r>
            <w:r w:rsidR="00B268C6">
              <w:rPr>
                <w:rFonts w:ascii="Arial" w:eastAsia="Times New Roman" w:hAnsi="Arial" w:cs="Arial"/>
                <w:bCs/>
              </w:rPr>
              <w:t>1</w:t>
            </w:r>
            <w:r>
              <w:rPr>
                <w:rFonts w:ascii="Arial" w:eastAsia="Times New Roman" w:hAnsi="Arial" w:cs="Arial"/>
                <w:bCs/>
              </w:rPr>
              <w:t>6 years on a routine basis at the current time apart from exceptional circumstances.</w:t>
            </w:r>
          </w:p>
          <w:p w:rsidR="004C212D" w:rsidRPr="004C212D" w:rsidRDefault="004C212D" w:rsidP="004C212D">
            <w:pPr>
              <w:rPr>
                <w:rFonts w:ascii="Arial" w:eastAsia="Times New Roman" w:hAnsi="Arial" w:cs="Arial"/>
                <w:bCs/>
              </w:rPr>
            </w:pP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b/>
              </w:rPr>
              <w:t xml:space="preserve">     </w:t>
            </w:r>
            <w:r w:rsidR="004C212D">
              <w:rPr>
                <w:rFonts w:ascii="Arial" w:eastAsia="Times New Roman" w:hAnsi="Arial" w:cs="Arial"/>
                <w:b/>
              </w:rPr>
              <w:t>Minor Eye Conditions Scheme</w:t>
            </w:r>
          </w:p>
          <w:p w:rsidR="00222641" w:rsidRDefault="004C212D" w:rsidP="00A931CA">
            <w:pPr>
              <w:pStyle w:val="ListParagraph"/>
              <w:numPr>
                <w:ilvl w:val="0"/>
                <w:numId w:val="1"/>
              </w:numPr>
              <w:rPr>
                <w:rFonts w:ascii="Arial" w:eastAsia="Times New Roman" w:hAnsi="Arial" w:cs="Arial"/>
              </w:rPr>
            </w:pPr>
            <w:r>
              <w:rPr>
                <w:rFonts w:ascii="Arial" w:eastAsia="Times New Roman" w:hAnsi="Arial" w:cs="Arial"/>
              </w:rPr>
              <w:t>MECS stands for Minor Eye Conditions Service. It is a NHS funded service for all patients registered with a GP within Lambeth, Lewisham &amp; Southwark to access NHS treatment for a range of eye conditions. Instead of having to visit hospital for treatment, patients can be seen by highly trained optometrists based in a local optician’s practice. Patients are us</w:t>
            </w:r>
            <w:r w:rsidR="003B04EB">
              <w:rPr>
                <w:rFonts w:ascii="Arial" w:eastAsia="Times New Roman" w:hAnsi="Arial" w:cs="Arial"/>
              </w:rPr>
              <w:t>u</w:t>
            </w:r>
            <w:r>
              <w:rPr>
                <w:rFonts w:ascii="Arial" w:eastAsia="Times New Roman" w:hAnsi="Arial" w:cs="Arial"/>
              </w:rPr>
              <w:t>ally seen by an Optometrist within 48 hours.</w:t>
            </w:r>
          </w:p>
          <w:p w:rsidR="004C212D" w:rsidRDefault="004C212D" w:rsidP="00A931CA">
            <w:pPr>
              <w:pStyle w:val="ListParagraph"/>
              <w:numPr>
                <w:ilvl w:val="0"/>
                <w:numId w:val="1"/>
              </w:numPr>
              <w:rPr>
                <w:rFonts w:ascii="Arial" w:eastAsia="Times New Roman" w:hAnsi="Arial" w:cs="Arial"/>
              </w:rPr>
            </w:pPr>
            <w:r>
              <w:rPr>
                <w:rFonts w:ascii="Arial" w:eastAsia="Times New Roman" w:hAnsi="Arial" w:cs="Arial"/>
              </w:rPr>
              <w:t>No referral form is necessary and patients are able to self-refer.</w:t>
            </w:r>
          </w:p>
          <w:p w:rsidR="004C212D" w:rsidRPr="005D32B2" w:rsidRDefault="004C212D" w:rsidP="00A931CA">
            <w:pPr>
              <w:pStyle w:val="ListParagraph"/>
              <w:numPr>
                <w:ilvl w:val="0"/>
                <w:numId w:val="1"/>
              </w:numPr>
              <w:rPr>
                <w:rFonts w:ascii="Arial" w:eastAsia="Times New Roman" w:hAnsi="Arial" w:cs="Arial"/>
              </w:rPr>
            </w:pPr>
            <w:r>
              <w:rPr>
                <w:rFonts w:ascii="Arial" w:eastAsia="Times New Roman" w:hAnsi="Arial" w:cs="Arial"/>
              </w:rPr>
              <w:t>A patient information leaflet is currently being developed and will be distributed to practices shortly.</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Pr="009118F9" w:rsidRDefault="003B04EB" w:rsidP="00A931CA">
            <w:pPr>
              <w:ind w:left="360"/>
              <w:contextualSpacing/>
              <w:rPr>
                <w:rFonts w:ascii="Arial" w:eastAsia="Times New Roman" w:hAnsi="Arial" w:cs="Arial"/>
                <w:b/>
                <w:bCs/>
              </w:rPr>
            </w:pPr>
            <w:r w:rsidRPr="009118F9">
              <w:rPr>
                <w:rFonts w:ascii="Arial" w:eastAsia="Times New Roman" w:hAnsi="Arial" w:cs="Arial"/>
                <w:b/>
                <w:bCs/>
              </w:rPr>
              <w:t>Commissioning Update</w:t>
            </w:r>
          </w:p>
          <w:p w:rsidR="003B04EB" w:rsidRDefault="003B04EB" w:rsidP="00A931CA">
            <w:pPr>
              <w:ind w:left="360"/>
              <w:contextualSpacing/>
              <w:rPr>
                <w:rFonts w:ascii="Arial" w:eastAsia="Times New Roman" w:hAnsi="Arial" w:cs="Arial"/>
                <w:bCs/>
              </w:rPr>
            </w:pPr>
            <w:r>
              <w:rPr>
                <w:rFonts w:ascii="Arial" w:eastAsia="Times New Roman" w:hAnsi="Arial" w:cs="Arial"/>
                <w:bCs/>
              </w:rPr>
              <w:t>Service in the spotlight is the Community Podiatry Service</w:t>
            </w:r>
          </w:p>
          <w:p w:rsidR="003B04EB" w:rsidRDefault="003B04EB" w:rsidP="003B04EB">
            <w:pPr>
              <w:ind w:left="360"/>
              <w:contextualSpacing/>
              <w:rPr>
                <w:rFonts w:ascii="Arial" w:eastAsia="Times New Roman" w:hAnsi="Arial" w:cs="Arial"/>
                <w:bCs/>
              </w:rPr>
            </w:pPr>
            <w:r>
              <w:rPr>
                <w:rFonts w:ascii="Arial" w:eastAsia="Times New Roman" w:hAnsi="Arial" w:cs="Arial"/>
                <w:bCs/>
              </w:rPr>
              <w:t xml:space="preserve">The Community Podiatry (foot health) clinics offer a range of services to assess, treat and advise people on any foot condition. Treatment is provided through individual care plans and carried out in the community health clinics. The community podiatry team work closely with diabetic, rheumatology and orthopaedic service at Guy’s and St </w:t>
            </w:r>
            <w:proofErr w:type="spellStart"/>
            <w:r>
              <w:rPr>
                <w:rFonts w:ascii="Arial" w:eastAsia="Times New Roman" w:hAnsi="Arial" w:cs="Arial"/>
                <w:bCs/>
              </w:rPr>
              <w:t>Thomas’</w:t>
            </w:r>
            <w:proofErr w:type="spellEnd"/>
            <w:r>
              <w:rPr>
                <w:rFonts w:ascii="Arial" w:eastAsia="Times New Roman" w:hAnsi="Arial" w:cs="Arial"/>
                <w:bCs/>
              </w:rPr>
              <w:t xml:space="preserve"> NHS Foundation Trust (GSTT) as well as with district nursing teams in the community.</w:t>
            </w:r>
          </w:p>
          <w:p w:rsidR="009118F9" w:rsidRDefault="009118F9" w:rsidP="003B04EB">
            <w:pPr>
              <w:ind w:left="360"/>
              <w:contextualSpacing/>
              <w:rPr>
                <w:rFonts w:ascii="Arial" w:eastAsia="Times New Roman" w:hAnsi="Arial" w:cs="Arial"/>
                <w:bCs/>
              </w:rPr>
            </w:pPr>
            <w:r>
              <w:rPr>
                <w:rFonts w:ascii="Arial" w:eastAsia="Times New Roman" w:hAnsi="Arial" w:cs="Arial"/>
                <w:bCs/>
              </w:rPr>
              <w:t>Patients can be seen at the following practices:</w:t>
            </w:r>
          </w:p>
          <w:p w:rsidR="009118F9" w:rsidRDefault="009118F9" w:rsidP="009118F9">
            <w:pPr>
              <w:pStyle w:val="ListParagraph"/>
              <w:numPr>
                <w:ilvl w:val="0"/>
                <w:numId w:val="5"/>
              </w:numPr>
              <w:rPr>
                <w:rFonts w:ascii="Arial" w:eastAsia="Times New Roman" w:hAnsi="Arial" w:cs="Arial"/>
                <w:bCs/>
              </w:rPr>
            </w:pPr>
            <w:r>
              <w:rPr>
                <w:rFonts w:ascii="Arial" w:eastAsia="Times New Roman" w:hAnsi="Arial" w:cs="Arial"/>
                <w:bCs/>
              </w:rPr>
              <w:t>Artesian Health Centre - 137-138 Grange Road SE1 3GF</w:t>
            </w:r>
          </w:p>
          <w:p w:rsidR="009118F9" w:rsidRDefault="009118F9" w:rsidP="009118F9">
            <w:pPr>
              <w:pStyle w:val="ListParagraph"/>
              <w:numPr>
                <w:ilvl w:val="0"/>
                <w:numId w:val="5"/>
              </w:numPr>
              <w:rPr>
                <w:rFonts w:ascii="Arial" w:eastAsia="Times New Roman" w:hAnsi="Arial" w:cs="Arial"/>
                <w:bCs/>
              </w:rPr>
            </w:pPr>
            <w:proofErr w:type="spellStart"/>
            <w:r>
              <w:rPr>
                <w:rFonts w:ascii="Arial" w:eastAsia="Times New Roman" w:hAnsi="Arial" w:cs="Arial"/>
                <w:bCs/>
              </w:rPr>
              <w:lastRenderedPageBreak/>
              <w:t>Gaumont</w:t>
            </w:r>
            <w:proofErr w:type="spellEnd"/>
            <w:r>
              <w:rPr>
                <w:rFonts w:ascii="Arial" w:eastAsia="Times New Roman" w:hAnsi="Arial" w:cs="Arial"/>
                <w:bCs/>
              </w:rPr>
              <w:t xml:space="preserve"> House Surgery – 153 Peckham High Street SE15 5SL</w:t>
            </w:r>
          </w:p>
          <w:p w:rsidR="009118F9" w:rsidRPr="009118F9" w:rsidRDefault="009118F9" w:rsidP="009118F9">
            <w:pPr>
              <w:pStyle w:val="ListParagraph"/>
              <w:numPr>
                <w:ilvl w:val="0"/>
                <w:numId w:val="5"/>
              </w:numPr>
              <w:rPr>
                <w:rFonts w:ascii="Arial" w:eastAsia="Times New Roman" w:hAnsi="Arial" w:cs="Arial"/>
                <w:bCs/>
              </w:rPr>
            </w:pPr>
            <w:proofErr w:type="spellStart"/>
            <w:r>
              <w:rPr>
                <w:rFonts w:ascii="Arial" w:eastAsia="Times New Roman" w:hAnsi="Arial" w:cs="Arial"/>
                <w:bCs/>
              </w:rPr>
              <w:t>Townley</w:t>
            </w:r>
            <w:proofErr w:type="spellEnd"/>
            <w:r>
              <w:rPr>
                <w:rFonts w:ascii="Arial" w:eastAsia="Times New Roman" w:hAnsi="Arial" w:cs="Arial"/>
                <w:bCs/>
              </w:rPr>
              <w:t xml:space="preserve"> Road Clinic – 121 </w:t>
            </w:r>
            <w:proofErr w:type="spellStart"/>
            <w:r>
              <w:rPr>
                <w:rFonts w:ascii="Arial" w:eastAsia="Times New Roman" w:hAnsi="Arial" w:cs="Arial"/>
                <w:bCs/>
              </w:rPr>
              <w:t>Townley</w:t>
            </w:r>
            <w:proofErr w:type="spellEnd"/>
            <w:r>
              <w:rPr>
                <w:rFonts w:ascii="Arial" w:eastAsia="Times New Roman" w:hAnsi="Arial" w:cs="Arial"/>
                <w:bCs/>
              </w:rPr>
              <w:t xml:space="preserve"> Road SE22 8SW</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lastRenderedPageBreak/>
              <w:t>6</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w:t>
            </w:r>
          </w:p>
          <w:p w:rsidR="00222641" w:rsidRDefault="00222641" w:rsidP="00A931CA">
            <w:pPr>
              <w:rPr>
                <w:rFonts w:ascii="Arial" w:eastAsia="Times New Roman" w:hAnsi="Arial" w:cs="Arial"/>
              </w:rPr>
            </w:pPr>
            <w:r>
              <w:rPr>
                <w:rFonts w:ascii="Arial" w:eastAsia="Times New Roman" w:hAnsi="Arial" w:cs="Arial"/>
              </w:rPr>
              <w:t xml:space="preserve">     </w:t>
            </w:r>
            <w:r w:rsidRPr="00A858A3">
              <w:rPr>
                <w:rFonts w:ascii="Arial" w:eastAsia="Times New Roman" w:hAnsi="Arial" w:cs="Arial"/>
              </w:rPr>
              <w:t xml:space="preserve">GW printed the latest NAPP bulletin and was given to PPG members. </w:t>
            </w:r>
          </w:p>
          <w:p w:rsidR="00222641" w:rsidRDefault="00222641"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3B04EB">
              <w:rPr>
                <w:rFonts w:ascii="Arial" w:eastAsia="Times New Roman" w:hAnsi="Arial" w:cs="Arial"/>
                <w:sz w:val="24"/>
                <w:szCs w:val="24"/>
              </w:rPr>
              <w:t>January</w:t>
            </w:r>
            <w:r w:rsidRPr="00BB60C9">
              <w:rPr>
                <w:rFonts w:ascii="Arial" w:eastAsia="Times New Roman" w:hAnsi="Arial" w:cs="Arial"/>
                <w:sz w:val="24"/>
                <w:szCs w:val="24"/>
              </w:rPr>
              <w:t xml:space="preserve"> was distributed to the group. All previous bulletins can </w:t>
            </w:r>
          </w:p>
          <w:p w:rsidR="00222641" w:rsidRPr="00BB60C9" w:rsidRDefault="00222641" w:rsidP="00A931CA">
            <w:pPr>
              <w:rPr>
                <w:rStyle w:val="Hyperlink"/>
                <w:rFonts w:ascii="Arial" w:eastAsia="Times New Roman" w:hAnsi="Arial" w:cs="Arial"/>
                <w:color w:val="auto"/>
                <w:u w:val="none"/>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7" w:tgtFrame="_blank" w:history="1">
              <w:r w:rsidRPr="00BB60C9">
                <w:rPr>
                  <w:rStyle w:val="Hyperlink"/>
                  <w:rFonts w:ascii="Arial" w:eastAsia="Times New Roman" w:hAnsi="Arial" w:cs="Arial"/>
                  <w:sz w:val="24"/>
                  <w:szCs w:val="24"/>
                </w:rPr>
                <w:t>http://www.napp.org.uk/latestebulletins.html</w:t>
              </w:r>
            </w:hyperlink>
          </w:p>
          <w:p w:rsidR="00222641" w:rsidRDefault="00222641" w:rsidP="00A931CA">
            <w:pPr>
              <w:ind w:left="360"/>
              <w:contextualSpacing/>
              <w:rPr>
                <w:rFonts w:ascii="Arial" w:eastAsia="Times New Roman" w:hAnsi="Arial" w:cs="Arial"/>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7</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AA5DFD">
              <w:rPr>
                <w:rFonts w:ascii="Arial" w:eastAsia="Times New Roman" w:hAnsi="Arial" w:cs="Arial"/>
                <w:b/>
              </w:rPr>
              <w:t>December</w:t>
            </w:r>
            <w:r>
              <w:rPr>
                <w:rFonts w:ascii="Arial" w:eastAsia="Times New Roman" w:hAnsi="Arial" w:cs="Arial"/>
                <w:b/>
              </w:rPr>
              <w:t xml:space="preserve"> = </w:t>
            </w:r>
            <w:r w:rsidR="00AA5DFD">
              <w:rPr>
                <w:rFonts w:ascii="Arial" w:eastAsia="Times New Roman" w:hAnsi="Arial" w:cs="Arial"/>
                <w:b/>
              </w:rPr>
              <w:t>144</w:t>
            </w:r>
            <w:r>
              <w:rPr>
                <w:rFonts w:ascii="Arial" w:eastAsia="Times New Roman" w:hAnsi="Arial" w:cs="Arial"/>
                <w:b/>
              </w:rPr>
              <w:t xml:space="preserve"> responses; </w:t>
            </w:r>
            <w:r w:rsidR="00AA5DFD">
              <w:rPr>
                <w:rFonts w:ascii="Arial" w:eastAsia="Times New Roman" w:hAnsi="Arial" w:cs="Arial"/>
                <w:b/>
              </w:rPr>
              <w:t>92</w:t>
            </w:r>
            <w:r>
              <w:rPr>
                <w:rFonts w:ascii="Arial" w:eastAsia="Times New Roman" w:hAnsi="Arial" w:cs="Arial"/>
                <w:b/>
              </w:rPr>
              <w:t xml:space="preserve"> extremely likely; </w:t>
            </w:r>
            <w:r w:rsidR="00AA5DFD">
              <w:rPr>
                <w:rFonts w:ascii="Arial" w:eastAsia="Times New Roman" w:hAnsi="Arial" w:cs="Arial"/>
                <w:b/>
              </w:rPr>
              <w:t>41</w:t>
            </w:r>
            <w:r>
              <w:rPr>
                <w:rFonts w:ascii="Arial" w:eastAsia="Times New Roman" w:hAnsi="Arial" w:cs="Arial"/>
                <w:b/>
              </w:rPr>
              <w:t xml:space="preserve"> likely; </w:t>
            </w:r>
            <w:r w:rsidR="00AA5DFD">
              <w:rPr>
                <w:rFonts w:ascii="Arial" w:eastAsia="Times New Roman" w:hAnsi="Arial" w:cs="Arial"/>
                <w:b/>
              </w:rPr>
              <w:t>5</w:t>
            </w:r>
            <w:r>
              <w:rPr>
                <w:rFonts w:ascii="Arial" w:eastAsia="Times New Roman" w:hAnsi="Arial" w:cs="Arial"/>
                <w:b/>
              </w:rPr>
              <w:t xml:space="preserve"> neither likely or unlikely, 4 Unlikely, </w:t>
            </w:r>
            <w:r w:rsidR="00AA5DFD">
              <w:rPr>
                <w:rFonts w:ascii="Arial" w:eastAsia="Times New Roman" w:hAnsi="Arial" w:cs="Arial"/>
                <w:b/>
              </w:rPr>
              <w:t>2</w:t>
            </w:r>
            <w:r>
              <w:rPr>
                <w:rFonts w:ascii="Arial" w:eastAsia="Times New Roman" w:hAnsi="Arial" w:cs="Arial"/>
                <w:b/>
              </w:rPr>
              <w:t xml:space="preserve"> extremely unlikely, </w:t>
            </w:r>
            <w:r w:rsidR="00AA5DFD">
              <w:rPr>
                <w:rFonts w:ascii="Arial" w:eastAsia="Times New Roman" w:hAnsi="Arial" w:cs="Arial"/>
                <w:b/>
              </w:rPr>
              <w:t>0</w:t>
            </w:r>
            <w:r>
              <w:rPr>
                <w:rFonts w:ascii="Arial" w:eastAsia="Times New Roman" w:hAnsi="Arial" w:cs="Arial"/>
                <w:b/>
              </w:rPr>
              <w:t xml:space="preserve"> Don’t know</w:t>
            </w:r>
          </w:p>
          <w:p w:rsidR="00222641"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AA5DFD">
              <w:rPr>
                <w:rFonts w:ascii="Arial" w:eastAsia="Times New Roman" w:hAnsi="Arial" w:cs="Arial"/>
                <w:b/>
              </w:rPr>
              <w:t>January</w:t>
            </w:r>
            <w:r w:rsidRPr="00AF6DB4">
              <w:rPr>
                <w:rFonts w:ascii="Arial" w:eastAsia="Times New Roman" w:hAnsi="Arial" w:cs="Arial"/>
                <w:b/>
              </w:rPr>
              <w:t xml:space="preserve">  = </w:t>
            </w:r>
            <w:r w:rsidR="00AA5DFD">
              <w:rPr>
                <w:rFonts w:ascii="Arial" w:eastAsia="Times New Roman" w:hAnsi="Arial" w:cs="Arial"/>
                <w:b/>
              </w:rPr>
              <w:t>137</w:t>
            </w:r>
            <w:r w:rsidRPr="00AF6DB4">
              <w:rPr>
                <w:rFonts w:ascii="Arial" w:eastAsia="Times New Roman" w:hAnsi="Arial" w:cs="Arial"/>
                <w:b/>
              </w:rPr>
              <w:t xml:space="preserve"> responses; </w:t>
            </w:r>
            <w:r w:rsidR="00AA5DFD">
              <w:rPr>
                <w:rFonts w:ascii="Arial" w:eastAsia="Times New Roman" w:hAnsi="Arial" w:cs="Arial"/>
                <w:b/>
              </w:rPr>
              <w:t>101</w:t>
            </w:r>
            <w:r w:rsidRPr="00AF6DB4">
              <w:rPr>
                <w:rFonts w:ascii="Arial" w:eastAsia="Times New Roman" w:hAnsi="Arial" w:cs="Arial"/>
                <w:b/>
              </w:rPr>
              <w:t xml:space="preserve"> extremely likely; </w:t>
            </w:r>
            <w:r w:rsidR="00AA5DFD">
              <w:rPr>
                <w:rFonts w:ascii="Arial" w:eastAsia="Times New Roman" w:hAnsi="Arial" w:cs="Arial"/>
                <w:b/>
              </w:rPr>
              <w:t>33</w:t>
            </w:r>
            <w:r w:rsidRPr="00AF6DB4">
              <w:rPr>
                <w:rFonts w:ascii="Arial" w:eastAsia="Times New Roman" w:hAnsi="Arial" w:cs="Arial"/>
                <w:b/>
              </w:rPr>
              <w:t xml:space="preserve"> likely; </w:t>
            </w:r>
            <w:r w:rsidR="00AA5DFD">
              <w:rPr>
                <w:rFonts w:ascii="Arial" w:eastAsia="Times New Roman" w:hAnsi="Arial" w:cs="Arial"/>
                <w:b/>
              </w:rPr>
              <w:t>10</w:t>
            </w:r>
            <w:r w:rsidRPr="00AF6DB4">
              <w:rPr>
                <w:rFonts w:ascii="Arial" w:eastAsia="Times New Roman" w:hAnsi="Arial" w:cs="Arial"/>
                <w:b/>
              </w:rPr>
              <w:t xml:space="preserve"> neither likely or unlikely, </w:t>
            </w:r>
            <w:r w:rsidR="00AA5DFD">
              <w:rPr>
                <w:rFonts w:ascii="Arial" w:eastAsia="Times New Roman" w:hAnsi="Arial" w:cs="Arial"/>
                <w:b/>
              </w:rPr>
              <w:t>1</w:t>
            </w:r>
            <w:r w:rsidRPr="00AF6DB4">
              <w:rPr>
                <w:rFonts w:ascii="Arial" w:eastAsia="Times New Roman" w:hAnsi="Arial" w:cs="Arial"/>
                <w:b/>
              </w:rPr>
              <w:t xml:space="preserve"> extremely unlikely, </w:t>
            </w:r>
            <w:r w:rsidR="00AA5DFD">
              <w:rPr>
                <w:rFonts w:ascii="Arial" w:eastAsia="Times New Roman" w:hAnsi="Arial" w:cs="Arial"/>
                <w:b/>
              </w:rPr>
              <w:t>4</w:t>
            </w:r>
            <w:r w:rsidRPr="00AF6DB4">
              <w:rPr>
                <w:rFonts w:ascii="Arial" w:eastAsia="Times New Roman" w:hAnsi="Arial" w:cs="Arial"/>
                <w:b/>
              </w:rPr>
              <w:t xml:space="preserve"> Unlikely, 0 don’t know</w:t>
            </w:r>
          </w:p>
          <w:p w:rsidR="00222641" w:rsidRPr="00AF6DB4"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AA5DFD">
              <w:rPr>
                <w:rFonts w:ascii="Arial" w:eastAsia="Times New Roman" w:hAnsi="Arial" w:cs="Arial"/>
                <w:b/>
              </w:rPr>
              <w:t>February</w:t>
            </w:r>
            <w:r w:rsidRPr="00AF6DB4">
              <w:rPr>
                <w:rFonts w:ascii="Arial" w:eastAsia="Times New Roman" w:hAnsi="Arial" w:cs="Arial"/>
                <w:b/>
              </w:rPr>
              <w:t xml:space="preserve">  = </w:t>
            </w:r>
            <w:r w:rsidR="00AA5DFD">
              <w:rPr>
                <w:rFonts w:ascii="Arial" w:eastAsia="Times New Roman" w:hAnsi="Arial" w:cs="Arial"/>
                <w:b/>
              </w:rPr>
              <w:t xml:space="preserve">110 </w:t>
            </w:r>
            <w:r w:rsidRPr="00AF6DB4">
              <w:rPr>
                <w:rFonts w:ascii="Arial" w:eastAsia="Times New Roman" w:hAnsi="Arial" w:cs="Arial"/>
                <w:b/>
              </w:rPr>
              <w:t xml:space="preserve">responses; </w:t>
            </w:r>
            <w:r w:rsidR="00AA5DFD">
              <w:rPr>
                <w:rFonts w:ascii="Arial" w:eastAsia="Times New Roman" w:hAnsi="Arial" w:cs="Arial"/>
                <w:b/>
              </w:rPr>
              <w:t>73</w:t>
            </w:r>
            <w:r w:rsidRPr="00AF6DB4">
              <w:rPr>
                <w:rFonts w:ascii="Arial" w:eastAsia="Times New Roman" w:hAnsi="Arial" w:cs="Arial"/>
                <w:b/>
              </w:rPr>
              <w:t xml:space="preserve"> extremely likely; </w:t>
            </w:r>
            <w:r w:rsidR="00AA5DFD">
              <w:rPr>
                <w:rFonts w:ascii="Arial" w:eastAsia="Times New Roman" w:hAnsi="Arial" w:cs="Arial"/>
                <w:b/>
              </w:rPr>
              <w:t>22</w:t>
            </w:r>
            <w:r w:rsidRPr="00AF6DB4">
              <w:rPr>
                <w:rFonts w:ascii="Arial" w:eastAsia="Times New Roman" w:hAnsi="Arial" w:cs="Arial"/>
                <w:b/>
              </w:rPr>
              <w:t xml:space="preserve"> likely; </w:t>
            </w:r>
            <w:r w:rsidR="00AA5DFD">
              <w:rPr>
                <w:rFonts w:ascii="Arial" w:eastAsia="Times New Roman" w:hAnsi="Arial" w:cs="Arial"/>
                <w:b/>
              </w:rPr>
              <w:t>6</w:t>
            </w:r>
            <w:r>
              <w:rPr>
                <w:rFonts w:ascii="Arial" w:eastAsia="Times New Roman" w:hAnsi="Arial" w:cs="Arial"/>
                <w:b/>
              </w:rPr>
              <w:t xml:space="preserve"> </w:t>
            </w:r>
            <w:r w:rsidRPr="00AF6DB4">
              <w:rPr>
                <w:rFonts w:ascii="Arial" w:eastAsia="Times New Roman" w:hAnsi="Arial" w:cs="Arial"/>
                <w:b/>
              </w:rPr>
              <w:t xml:space="preserve">neither likely or unlikely, </w:t>
            </w:r>
            <w:r w:rsidR="00AA5DFD">
              <w:rPr>
                <w:rFonts w:ascii="Arial" w:eastAsia="Times New Roman" w:hAnsi="Arial" w:cs="Arial"/>
                <w:b/>
              </w:rPr>
              <w:t>3</w:t>
            </w:r>
            <w:r w:rsidRPr="00AF6DB4">
              <w:rPr>
                <w:rFonts w:ascii="Arial" w:eastAsia="Times New Roman" w:hAnsi="Arial" w:cs="Arial"/>
                <w:b/>
              </w:rPr>
              <w:t xml:space="preserve"> extremely unlikely, </w:t>
            </w:r>
            <w:r w:rsidR="00AA5DFD">
              <w:rPr>
                <w:rFonts w:ascii="Arial" w:eastAsia="Times New Roman" w:hAnsi="Arial" w:cs="Arial"/>
                <w:b/>
              </w:rPr>
              <w:t>6</w:t>
            </w:r>
            <w:r w:rsidRPr="00AF6DB4">
              <w:rPr>
                <w:rFonts w:ascii="Arial" w:eastAsia="Times New Roman" w:hAnsi="Arial" w:cs="Arial"/>
                <w:b/>
              </w:rPr>
              <w:t xml:space="preserve"> Unlikely, 0 don’t know</w:t>
            </w:r>
          </w:p>
          <w:p w:rsidR="00222641" w:rsidRDefault="00222641" w:rsidP="00A931CA">
            <w:pPr>
              <w:contextualSpacing/>
              <w:rPr>
                <w:rFonts w:ascii="Arial" w:eastAsia="Times New Roman" w:hAnsi="Arial" w:cs="Arial"/>
                <w:b/>
              </w:rPr>
            </w:pPr>
          </w:p>
        </w:tc>
      </w:tr>
    </w:tbl>
    <w:p w:rsidR="00222641" w:rsidRDefault="00222641" w:rsidP="00222641">
      <w:pPr>
        <w:rPr>
          <w:rFonts w:ascii="Times New Roman" w:eastAsia="Times New Roman" w:hAnsi="Times New Roman" w:cs="Times New Roman"/>
          <w:sz w:val="24"/>
          <w:szCs w:val="24"/>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Any other business</w:t>
            </w:r>
          </w:p>
          <w:p w:rsidR="00222641" w:rsidRPr="00522FD3" w:rsidRDefault="003B04EB" w:rsidP="003B04EB">
            <w:pPr>
              <w:rPr>
                <w:rFonts w:ascii="Arial" w:eastAsia="Times New Roman" w:hAnsi="Arial" w:cs="Arial"/>
              </w:rPr>
            </w:pPr>
            <w:r>
              <w:rPr>
                <w:rFonts w:ascii="Arial" w:eastAsia="Times New Roman" w:hAnsi="Arial" w:cs="Arial"/>
              </w:rPr>
              <w:t>N/A</w:t>
            </w:r>
          </w:p>
        </w:tc>
      </w:tr>
    </w:tbl>
    <w:p w:rsidR="00222641" w:rsidRDefault="00222641" w:rsidP="00222641"/>
    <w:p w:rsidR="00222641" w:rsidRDefault="00222641" w:rsidP="00222641"/>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222641">
        <w:rPr>
          <w:rFonts w:ascii="Times New Roman" w:eastAsia="Times New Roman" w:hAnsi="Times New Roman" w:cs="Times New Roman"/>
          <w:b/>
          <w:sz w:val="24"/>
          <w:szCs w:val="24"/>
        </w:rPr>
        <w:t>Date of next meeting</w:t>
      </w:r>
      <w:proofErr w:type="gramStart"/>
      <w:r w:rsidR="00222641">
        <w:rPr>
          <w:rFonts w:ascii="Times New Roman" w:eastAsia="Times New Roman" w:hAnsi="Times New Roman" w:cs="Times New Roman"/>
          <w:b/>
          <w:sz w:val="24"/>
          <w:szCs w:val="24"/>
        </w:rPr>
        <w:t>:–</w:t>
      </w:r>
      <w:proofErr w:type="gramEnd"/>
      <w:r w:rsidR="00222641">
        <w:rPr>
          <w:rFonts w:ascii="Times New Roman" w:eastAsia="Times New Roman" w:hAnsi="Times New Roman" w:cs="Times New Roman"/>
          <w:b/>
          <w:sz w:val="24"/>
          <w:szCs w:val="24"/>
        </w:rPr>
        <w:t xml:space="preserve"> Monday </w:t>
      </w:r>
      <w:r w:rsidR="003B04EB">
        <w:rPr>
          <w:rFonts w:ascii="Times New Roman" w:eastAsia="Times New Roman" w:hAnsi="Times New Roman" w:cs="Times New Roman"/>
          <w:b/>
          <w:sz w:val="24"/>
          <w:szCs w:val="24"/>
        </w:rPr>
        <w:t>26</w:t>
      </w:r>
      <w:r w:rsidR="003B04EB" w:rsidRPr="003B04EB">
        <w:rPr>
          <w:rFonts w:ascii="Times New Roman" w:eastAsia="Times New Roman" w:hAnsi="Times New Roman" w:cs="Times New Roman"/>
          <w:b/>
          <w:sz w:val="24"/>
          <w:szCs w:val="24"/>
          <w:vertAlign w:val="superscript"/>
        </w:rPr>
        <w:t>th</w:t>
      </w:r>
      <w:r w:rsidR="003B04EB">
        <w:rPr>
          <w:rFonts w:ascii="Times New Roman" w:eastAsia="Times New Roman" w:hAnsi="Times New Roman" w:cs="Times New Roman"/>
          <w:b/>
          <w:sz w:val="24"/>
          <w:szCs w:val="24"/>
        </w:rPr>
        <w:t xml:space="preserve"> June </w:t>
      </w:r>
      <w:r w:rsidR="00222641">
        <w:rPr>
          <w:rFonts w:ascii="Times New Roman" w:eastAsia="Times New Roman" w:hAnsi="Times New Roman" w:cs="Times New Roman"/>
          <w:b/>
          <w:sz w:val="24"/>
          <w:szCs w:val="24"/>
        </w:rPr>
        <w:t>2017</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14703E"/>
    <w:rsid w:val="00222641"/>
    <w:rsid w:val="0037483D"/>
    <w:rsid w:val="003A4483"/>
    <w:rsid w:val="003B04EB"/>
    <w:rsid w:val="004C212D"/>
    <w:rsid w:val="005850F0"/>
    <w:rsid w:val="009118F9"/>
    <w:rsid w:val="00AA5DFD"/>
    <w:rsid w:val="00B2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Wright Gill</cp:lastModifiedBy>
  <cp:revision>4</cp:revision>
  <dcterms:created xsi:type="dcterms:W3CDTF">2017-03-13T13:44:00Z</dcterms:created>
  <dcterms:modified xsi:type="dcterms:W3CDTF">2017-03-31T13:28:00Z</dcterms:modified>
</cp:coreProperties>
</file>